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B65A8" w14:textId="77777777" w:rsidR="00CF32CD" w:rsidRPr="00CF32CD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p w14:paraId="67C7D145" w14:textId="77777777" w:rsidR="00CF32CD" w:rsidRPr="00CF32CD" w:rsidRDefault="00CF32CD" w:rsidP="00CF32CD">
      <w:pPr>
        <w:ind w:left="360"/>
        <w:jc w:val="both"/>
        <w:rPr>
          <w:rFonts w:ascii="Arial" w:eastAsia="Cambria" w:hAnsi="Arial"/>
          <w:b/>
          <w:sz w:val="22"/>
          <w:szCs w:val="22"/>
          <w:lang w:val="es-MX"/>
        </w:rPr>
      </w:pPr>
    </w:p>
    <w:p w14:paraId="77B42BFD" w14:textId="77777777" w:rsidR="00CF32CD" w:rsidRPr="00CF32CD" w:rsidRDefault="00D82F83" w:rsidP="007A11C0">
      <w:pPr>
        <w:spacing w:after="200"/>
        <w:ind w:left="-142"/>
        <w:jc w:val="both"/>
        <w:rPr>
          <w:rFonts w:ascii="Arial" w:eastAsia="Cambria" w:hAnsi="Arial"/>
          <w:b/>
          <w:sz w:val="22"/>
          <w:szCs w:val="22"/>
          <w:lang w:val="es-MX"/>
        </w:rPr>
      </w:pPr>
      <w:r w:rsidRPr="00D82F83">
        <w:rPr>
          <w:rFonts w:ascii="Arial" w:eastAsia="Cambria" w:hAnsi="Arial"/>
          <w:b/>
          <w:sz w:val="22"/>
          <w:szCs w:val="22"/>
          <w:lang w:val="es-MX"/>
        </w:rPr>
        <w:t xml:space="preserve">OBJECTIVE </w:t>
      </w:r>
    </w:p>
    <w:p w14:paraId="560886A4" w14:textId="77777777" w:rsidR="00CF32CD" w:rsidRPr="002F6D00" w:rsidRDefault="00D82F83" w:rsidP="007A11C0">
      <w:pPr>
        <w:pStyle w:val="ListParagraph"/>
        <w:numPr>
          <w:ilvl w:val="0"/>
          <w:numId w:val="26"/>
        </w:numPr>
        <w:spacing w:after="200"/>
        <w:jc w:val="both"/>
        <w:rPr>
          <w:rFonts w:ascii="Arial" w:eastAsia="Cambria" w:hAnsi="Arial"/>
          <w:sz w:val="22"/>
          <w:szCs w:val="22"/>
          <w:lang w:val="es-MX"/>
        </w:rPr>
      </w:pPr>
      <w:r w:rsidRPr="00D82F83">
        <w:rPr>
          <w:rFonts w:ascii="Arial" w:eastAsia="Cambria" w:hAnsi="Arial"/>
          <w:sz w:val="22"/>
          <w:szCs w:val="22"/>
          <w:lang w:val="es-MX"/>
        </w:rPr>
        <w:t>To avoid the water being a source of contamination through the inappropriate use of antimicrobial agents</w:t>
      </w:r>
      <w:r w:rsidR="007A11C0" w:rsidRPr="002F6D00">
        <w:rPr>
          <w:rFonts w:ascii="Arial" w:eastAsia="Cambria" w:hAnsi="Arial"/>
          <w:sz w:val="22"/>
          <w:szCs w:val="22"/>
          <w:lang w:val="es-MX"/>
        </w:rPr>
        <w:t xml:space="preserve">. </w:t>
      </w:r>
    </w:p>
    <w:p w14:paraId="202213A0" w14:textId="77777777" w:rsidR="007A11C0" w:rsidRDefault="00D82F83" w:rsidP="00D82F83">
      <w:pPr>
        <w:pStyle w:val="Heading5"/>
        <w:spacing w:before="210"/>
        <w:ind w:left="-142"/>
        <w:rPr>
          <w:rFonts w:eastAsia="Cambria"/>
          <w:sz w:val="22"/>
          <w:szCs w:val="22"/>
          <w:lang w:val="es-MX"/>
        </w:rPr>
      </w:pPr>
      <w:r>
        <w:t>CONTROL MEASURES</w:t>
      </w:r>
    </w:p>
    <w:p w14:paraId="5657B6FE" w14:textId="77777777" w:rsidR="00D82F83" w:rsidRPr="00D82F83" w:rsidRDefault="00D82F83" w:rsidP="00D82F83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rely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on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documentation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(DOC-MATERIAL-5.1.1)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which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shows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that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antimicrobial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agents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used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in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wash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water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of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immersion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system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,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or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in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sprayer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line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or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for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other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purposes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of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contact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with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food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are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approved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by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EPA (US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Environmental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Protection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Agency)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or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FDA (</w:t>
      </w:r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US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Food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and Drug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Administration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). (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Make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sure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you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have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these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documents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in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indicated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>area</w:t>
      </w:r>
      <w:proofErr w:type="spellEnd"/>
      <w:r w:rsidRPr="00D82F83">
        <w:rPr>
          <w:rFonts w:ascii="Arial" w:eastAsiaTheme="minorHAnsi" w:hAnsi="Arial" w:cstheme="minorBidi"/>
          <w:color w:val="365F91" w:themeColor="accent1" w:themeShade="BF"/>
          <w:sz w:val="22"/>
          <w:szCs w:val="17"/>
          <w:lang w:val="es-ES_tradnl"/>
        </w:rPr>
        <w:t xml:space="preserve"> (DOC-MATERIAL-5.1.1</w:t>
      </w:r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))</w:t>
      </w:r>
    </w:p>
    <w:p w14:paraId="7E140E41" w14:textId="77777777" w:rsidR="00D82F83" w:rsidRPr="00D82F83" w:rsidRDefault="00D82F83" w:rsidP="009521B9">
      <w:pPr>
        <w:spacing w:after="200"/>
        <w:contextualSpacing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bookmarkStart w:id="0" w:name="_GoBack"/>
      <w:bookmarkEnd w:id="0"/>
    </w:p>
    <w:p w14:paraId="6273C79A" w14:textId="77777777" w:rsidR="00C5648D" w:rsidRPr="00D82F83" w:rsidRDefault="00D82F83" w:rsidP="00CF32CD">
      <w:pPr>
        <w:numPr>
          <w:ilvl w:val="0"/>
          <w:numId w:val="22"/>
        </w:numPr>
        <w:spacing w:after="200"/>
        <w:ind w:left="714" w:hanging="357"/>
        <w:contextualSpacing/>
        <w:jc w:val="both"/>
        <w:rPr>
          <w:rFonts w:ascii="Arial" w:eastAsiaTheme="minorHAnsi" w:hAnsi="Arial" w:cstheme="minorBidi"/>
          <w:sz w:val="22"/>
          <w:szCs w:val="17"/>
          <w:lang w:val="es-ES_tradnl"/>
        </w:rPr>
      </w:pP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Quality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Control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performs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preparation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of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antimicrobial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agent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and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adds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it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to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appropriate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tank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/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water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tank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/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water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container 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following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procedures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in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the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following</w:t>
      </w:r>
      <w:proofErr w:type="spellEnd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 xml:space="preserve"> </w:t>
      </w:r>
      <w:proofErr w:type="spellStart"/>
      <w:r w:rsidRPr="00D82F83">
        <w:rPr>
          <w:rFonts w:ascii="Arial" w:eastAsiaTheme="minorHAnsi" w:hAnsi="Arial" w:cstheme="minorBidi"/>
          <w:sz w:val="22"/>
          <w:szCs w:val="17"/>
          <w:lang w:val="es-ES_tradnl"/>
        </w:rPr>
        <w:t>table</w:t>
      </w:r>
      <w:proofErr w:type="spellEnd"/>
      <w:r w:rsidR="00C5648D" w:rsidRPr="00D82F83">
        <w:rPr>
          <w:rFonts w:ascii="Arial" w:eastAsia="Cambria" w:hAnsi="Arial" w:cs="Arial"/>
          <w:sz w:val="22"/>
          <w:szCs w:val="22"/>
          <w:lang w:val="es-MX"/>
        </w:rPr>
        <w:t>:</w:t>
      </w:r>
    </w:p>
    <w:p w14:paraId="0EBD3FAE" w14:textId="77777777" w:rsidR="000E3227" w:rsidRDefault="000E3227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0D40BCCC" w14:textId="77777777" w:rsidR="00C5648D" w:rsidRPr="000E3227" w:rsidRDefault="000E3227" w:rsidP="00C5648D">
      <w:pPr>
        <w:spacing w:after="200"/>
        <w:ind w:left="357"/>
        <w:contextualSpacing/>
        <w:jc w:val="both"/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</w:pPr>
      <w:r w:rsidRPr="000E3227"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  <w:t>(</w:t>
      </w:r>
      <w:r w:rsidR="00D82F83" w:rsidRPr="00D82F83"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  <w:t>Please provide the disinfectants used in your plant, the tank/equipment where it is used and the procedure used for the preparation according to the instructions of the supplier or the product label</w:t>
      </w:r>
      <w:r w:rsidRPr="000E3227">
        <w:rPr>
          <w:rFonts w:ascii="Arial" w:eastAsia="Cambria" w:hAnsi="Arial" w:cs="Arial"/>
          <w:color w:val="1F497D" w:themeColor="text2"/>
          <w:sz w:val="22"/>
          <w:szCs w:val="22"/>
          <w:lang w:val="es-MX"/>
        </w:rPr>
        <w:t>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49"/>
        <w:gridCol w:w="1673"/>
        <w:gridCol w:w="1701"/>
        <w:gridCol w:w="2314"/>
        <w:gridCol w:w="1517"/>
      </w:tblGrid>
      <w:tr w:rsidR="00D82F83" w14:paraId="7676A218" w14:textId="77777777" w:rsidTr="00D82F83">
        <w:tc>
          <w:tcPr>
            <w:tcW w:w="1688" w:type="dxa"/>
          </w:tcPr>
          <w:p w14:paraId="079795A3" w14:textId="77777777" w:rsidR="00D82F83" w:rsidRDefault="00D82F83">
            <w:pPr>
              <w:pStyle w:val="TableParagraph"/>
              <w:spacing w:before="4"/>
              <w:ind w:left="430"/>
              <w:rPr>
                <w:b/>
                <w:sz w:val="21"/>
              </w:rPr>
            </w:pPr>
            <w:r>
              <w:rPr>
                <w:b/>
                <w:sz w:val="21"/>
              </w:rPr>
              <w:t>Commercial</w:t>
            </w:r>
          </w:p>
          <w:p w14:paraId="5D54322E" w14:textId="77777777" w:rsidR="00D82F83" w:rsidRDefault="00D82F83">
            <w:pPr>
              <w:pStyle w:val="TableParagraph"/>
              <w:spacing w:before="13" w:line="225" w:lineRule="exact"/>
              <w:ind w:left="332"/>
              <w:rPr>
                <w:b/>
                <w:sz w:val="21"/>
              </w:rPr>
            </w:pPr>
            <w:proofErr w:type="gramStart"/>
            <w:r>
              <w:rPr>
                <w:b/>
                <w:sz w:val="21"/>
              </w:rPr>
              <w:t>name</w:t>
            </w:r>
            <w:proofErr w:type="gramEnd"/>
          </w:p>
        </w:tc>
        <w:tc>
          <w:tcPr>
            <w:tcW w:w="1497" w:type="dxa"/>
          </w:tcPr>
          <w:p w14:paraId="0215EFBF" w14:textId="77777777" w:rsidR="00D82F83" w:rsidRDefault="00D82F83">
            <w:pPr>
              <w:pStyle w:val="TableParagraph"/>
              <w:spacing w:before="4"/>
              <w:ind w:left="359"/>
              <w:rPr>
                <w:b/>
                <w:sz w:val="21"/>
              </w:rPr>
            </w:pPr>
            <w:r>
              <w:rPr>
                <w:b/>
                <w:sz w:val="21"/>
              </w:rPr>
              <w:t>Type of</w:t>
            </w:r>
          </w:p>
          <w:p w14:paraId="1E9B2E7B" w14:textId="77777777" w:rsidR="00D82F83" w:rsidRDefault="00D82F83">
            <w:pPr>
              <w:pStyle w:val="TableParagraph"/>
              <w:spacing w:before="13" w:line="225" w:lineRule="exact"/>
              <w:ind w:left="273"/>
              <w:rPr>
                <w:b/>
                <w:sz w:val="21"/>
              </w:rPr>
            </w:pPr>
            <w:proofErr w:type="gramStart"/>
            <w:r>
              <w:rPr>
                <w:b/>
                <w:sz w:val="21"/>
              </w:rPr>
              <w:t>product</w:t>
            </w:r>
            <w:proofErr w:type="gramEnd"/>
          </w:p>
        </w:tc>
        <w:tc>
          <w:tcPr>
            <w:tcW w:w="1724" w:type="dxa"/>
          </w:tcPr>
          <w:p w14:paraId="4252F216" w14:textId="77777777" w:rsidR="00D82F83" w:rsidRDefault="00D82F83">
            <w:pPr>
              <w:pStyle w:val="TableParagraph"/>
              <w:spacing w:before="4"/>
              <w:ind w:left="398"/>
              <w:rPr>
                <w:b/>
                <w:sz w:val="21"/>
              </w:rPr>
            </w:pPr>
            <w:r>
              <w:rPr>
                <w:b/>
                <w:sz w:val="21"/>
              </w:rPr>
              <w:t>Place of</w:t>
            </w:r>
          </w:p>
          <w:p w14:paraId="031E18D4" w14:textId="77777777" w:rsidR="00D82F83" w:rsidRDefault="00D82F83">
            <w:pPr>
              <w:pStyle w:val="TableParagraph"/>
              <w:spacing w:before="13" w:line="225" w:lineRule="exact"/>
              <w:ind w:left="325"/>
              <w:rPr>
                <w:b/>
                <w:sz w:val="21"/>
              </w:rPr>
            </w:pPr>
            <w:proofErr w:type="gramStart"/>
            <w:r>
              <w:rPr>
                <w:b/>
                <w:sz w:val="21"/>
              </w:rPr>
              <w:t>application</w:t>
            </w:r>
            <w:proofErr w:type="gramEnd"/>
          </w:p>
        </w:tc>
        <w:tc>
          <w:tcPr>
            <w:tcW w:w="2608" w:type="dxa"/>
          </w:tcPr>
          <w:p w14:paraId="34AB2088" w14:textId="77777777" w:rsidR="00D82F83" w:rsidRDefault="00D82F83">
            <w:pPr>
              <w:pStyle w:val="TableParagraph"/>
              <w:spacing w:before="4"/>
              <w:ind w:left="99" w:right="9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Procedure</w:t>
            </w:r>
          </w:p>
        </w:tc>
        <w:tc>
          <w:tcPr>
            <w:tcW w:w="1537" w:type="dxa"/>
          </w:tcPr>
          <w:p w14:paraId="240BDEFF" w14:textId="77777777" w:rsidR="00D82F83" w:rsidRDefault="00D82F83">
            <w:pPr>
              <w:pStyle w:val="TableParagraph"/>
              <w:spacing w:before="4"/>
              <w:ind w:left="81" w:right="8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Conditions</w:t>
            </w:r>
          </w:p>
        </w:tc>
      </w:tr>
      <w:tr w:rsidR="00D82F83" w14:paraId="71D6601D" w14:textId="77777777" w:rsidTr="00D82F83">
        <w:tc>
          <w:tcPr>
            <w:tcW w:w="1688" w:type="dxa"/>
          </w:tcPr>
          <w:p w14:paraId="40355B2B" w14:textId="77777777" w:rsidR="00D82F83" w:rsidRDefault="00D82F83" w:rsidP="007F5B44">
            <w:pPr>
              <w:pStyle w:val="TableParagraph"/>
              <w:spacing w:before="4" w:line="229" w:lineRule="exact"/>
              <w:ind w:left="101" w:right="91"/>
              <w:jc w:val="center"/>
              <w:rPr>
                <w:sz w:val="21"/>
              </w:rPr>
            </w:pPr>
            <w:r>
              <w:rPr>
                <w:color w:val="1F497D"/>
                <w:sz w:val="21"/>
              </w:rPr>
              <w:t>E.g. "Commercial chlorine for food industry use”</w:t>
            </w:r>
          </w:p>
        </w:tc>
        <w:tc>
          <w:tcPr>
            <w:tcW w:w="1497" w:type="dxa"/>
          </w:tcPr>
          <w:p w14:paraId="59F7628D" w14:textId="77777777" w:rsidR="00D82F83" w:rsidRDefault="00D82F83" w:rsidP="007F5B44">
            <w:pPr>
              <w:pStyle w:val="TableParagraph"/>
              <w:spacing w:before="4" w:line="229" w:lineRule="exact"/>
              <w:ind w:left="342" w:right="332"/>
              <w:jc w:val="center"/>
              <w:rPr>
                <w:color w:val="1F497D"/>
                <w:sz w:val="21"/>
              </w:rPr>
            </w:pPr>
            <w:r>
              <w:rPr>
                <w:color w:val="1F497D"/>
                <w:sz w:val="21"/>
              </w:rPr>
              <w:t>Chlorine</w:t>
            </w:r>
          </w:p>
          <w:p w14:paraId="028CA493" w14:textId="77777777" w:rsidR="00D82F83" w:rsidRDefault="00D82F83" w:rsidP="007F5B44">
            <w:pPr>
              <w:pStyle w:val="TableParagraph"/>
              <w:spacing w:before="4" w:line="229" w:lineRule="exact"/>
              <w:ind w:left="342" w:right="332"/>
              <w:jc w:val="center"/>
              <w:rPr>
                <w:sz w:val="21"/>
              </w:rPr>
            </w:pPr>
            <w:r>
              <w:rPr>
                <w:color w:val="1F497D"/>
                <w:sz w:val="21"/>
              </w:rPr>
              <w:t>(5.25%)</w:t>
            </w:r>
          </w:p>
        </w:tc>
        <w:tc>
          <w:tcPr>
            <w:tcW w:w="1724" w:type="dxa"/>
          </w:tcPr>
          <w:p w14:paraId="68925DB6" w14:textId="77777777" w:rsidR="00D82F83" w:rsidRDefault="00D82F83">
            <w:pPr>
              <w:pStyle w:val="TableParagraph"/>
              <w:spacing w:before="4" w:line="229" w:lineRule="exact"/>
              <w:ind w:left="93" w:right="83"/>
              <w:jc w:val="center"/>
              <w:rPr>
                <w:color w:val="1F497D"/>
                <w:sz w:val="21"/>
              </w:rPr>
            </w:pPr>
            <w:r>
              <w:rPr>
                <w:color w:val="1F497D"/>
                <w:sz w:val="21"/>
              </w:rPr>
              <w:t>500 liter</w:t>
            </w:r>
          </w:p>
          <w:p w14:paraId="522205CE" w14:textId="77777777" w:rsidR="00D82F83" w:rsidRDefault="00D82F83">
            <w:pPr>
              <w:pStyle w:val="TableParagraph"/>
              <w:spacing w:before="4" w:line="229" w:lineRule="exact"/>
              <w:ind w:left="93" w:right="83"/>
              <w:jc w:val="center"/>
              <w:rPr>
                <w:sz w:val="21"/>
              </w:rPr>
            </w:pPr>
            <w:proofErr w:type="gramStart"/>
            <w:r>
              <w:rPr>
                <w:color w:val="1F497D"/>
                <w:sz w:val="21"/>
              </w:rPr>
              <w:t>wash</w:t>
            </w:r>
            <w:proofErr w:type="gramEnd"/>
            <w:r>
              <w:rPr>
                <w:color w:val="1F497D"/>
                <w:sz w:val="21"/>
              </w:rPr>
              <w:t xml:space="preserve"> tank</w:t>
            </w:r>
          </w:p>
        </w:tc>
        <w:tc>
          <w:tcPr>
            <w:tcW w:w="2608" w:type="dxa"/>
          </w:tcPr>
          <w:p w14:paraId="7E4595E3" w14:textId="77777777" w:rsidR="00D82F83" w:rsidRDefault="00D82F83">
            <w:pPr>
              <w:pStyle w:val="TableParagraph"/>
              <w:spacing w:before="4" w:line="229" w:lineRule="exact"/>
              <w:ind w:left="101" w:right="95"/>
              <w:jc w:val="center"/>
              <w:rPr>
                <w:color w:val="1F497D"/>
                <w:sz w:val="21"/>
              </w:rPr>
            </w:pPr>
            <w:r>
              <w:rPr>
                <w:color w:val="1F497D"/>
                <w:sz w:val="21"/>
              </w:rPr>
              <w:t>Add 4 liters of the</w:t>
            </w:r>
          </w:p>
          <w:p w14:paraId="4E940E70" w14:textId="77777777" w:rsidR="00D82F83" w:rsidRDefault="00D82F83">
            <w:pPr>
              <w:pStyle w:val="TableParagraph"/>
              <w:spacing w:before="4" w:line="229" w:lineRule="exact"/>
              <w:ind w:left="101" w:right="95"/>
              <w:jc w:val="center"/>
              <w:rPr>
                <w:color w:val="1F497D"/>
                <w:sz w:val="21"/>
              </w:rPr>
            </w:pPr>
            <w:r>
              <w:rPr>
                <w:color w:val="1F497D"/>
                <w:sz w:val="21"/>
              </w:rPr>
              <w:t>Product “Commercial</w:t>
            </w:r>
          </w:p>
          <w:p w14:paraId="20FACAF6" w14:textId="77777777" w:rsidR="00D82F83" w:rsidRDefault="00D82F83" w:rsidP="00D74B33">
            <w:pPr>
              <w:pStyle w:val="TableParagraph"/>
              <w:spacing w:before="4" w:line="229" w:lineRule="exact"/>
              <w:ind w:left="101" w:right="95"/>
              <w:jc w:val="center"/>
              <w:rPr>
                <w:sz w:val="21"/>
              </w:rPr>
            </w:pPr>
            <w:proofErr w:type="gramStart"/>
            <w:r>
              <w:rPr>
                <w:color w:val="1F497D"/>
                <w:sz w:val="21"/>
              </w:rPr>
              <w:t>chlorine</w:t>
            </w:r>
            <w:proofErr w:type="gramEnd"/>
            <w:r>
              <w:rPr>
                <w:color w:val="1F497D"/>
                <w:sz w:val="21"/>
              </w:rPr>
              <w:t xml:space="preserve"> for food industry use” to the tank with 500 liters of water to obtain a concentration of 100ppm of chlorine in the water.</w:t>
            </w:r>
          </w:p>
        </w:tc>
        <w:tc>
          <w:tcPr>
            <w:tcW w:w="1537" w:type="dxa"/>
          </w:tcPr>
          <w:p w14:paraId="504904E6" w14:textId="77777777" w:rsidR="00D82F83" w:rsidRDefault="00D82F83" w:rsidP="00D74B33">
            <w:pPr>
              <w:pStyle w:val="TableParagraph"/>
              <w:spacing w:before="4" w:line="229" w:lineRule="exact"/>
              <w:ind w:left="81" w:right="81"/>
              <w:jc w:val="center"/>
              <w:rPr>
                <w:color w:val="1F497D"/>
                <w:sz w:val="21"/>
              </w:rPr>
            </w:pPr>
            <w:r>
              <w:rPr>
                <w:color w:val="1F497D"/>
                <w:sz w:val="21"/>
              </w:rPr>
              <w:t xml:space="preserve">PH of 6.5 to </w:t>
            </w:r>
          </w:p>
          <w:p w14:paraId="1C4DDAFA" w14:textId="77777777" w:rsidR="00D82F83" w:rsidRDefault="00D82F83" w:rsidP="00D74B33">
            <w:pPr>
              <w:pStyle w:val="TableParagraph"/>
              <w:spacing w:before="4" w:line="229" w:lineRule="exact"/>
              <w:ind w:left="81" w:right="81"/>
              <w:jc w:val="center"/>
              <w:rPr>
                <w:sz w:val="21"/>
              </w:rPr>
            </w:pPr>
            <w:r>
              <w:rPr>
                <w:color w:val="1F497D"/>
                <w:sz w:val="21"/>
              </w:rPr>
              <w:t>7.5</w:t>
            </w:r>
          </w:p>
        </w:tc>
      </w:tr>
      <w:tr w:rsidR="00937727" w14:paraId="03FEEAEB" w14:textId="77777777" w:rsidTr="00D82F83">
        <w:tc>
          <w:tcPr>
            <w:tcW w:w="1688" w:type="dxa"/>
          </w:tcPr>
          <w:p w14:paraId="48323AAF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4A02390B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5253434C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5F498E74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23EADBCC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5C8558EC" w14:textId="77777777" w:rsidTr="00D82F83">
        <w:tc>
          <w:tcPr>
            <w:tcW w:w="1688" w:type="dxa"/>
          </w:tcPr>
          <w:p w14:paraId="6586E99F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03BD7812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16B3EEF5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0FE2EB1F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0F62CDFF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0ADD2D95" w14:textId="77777777" w:rsidTr="00D82F83">
        <w:tc>
          <w:tcPr>
            <w:tcW w:w="1688" w:type="dxa"/>
          </w:tcPr>
          <w:p w14:paraId="02B132CD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62F68683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26933798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78C89131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4176EFE0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688F2953" w14:textId="77777777" w:rsidTr="00D82F83">
        <w:tc>
          <w:tcPr>
            <w:tcW w:w="1688" w:type="dxa"/>
          </w:tcPr>
          <w:p w14:paraId="622A725C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11722D55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6441DDA9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4DE176AF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5D92ECB1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15A222F3" w14:textId="77777777" w:rsidTr="00D82F83">
        <w:tc>
          <w:tcPr>
            <w:tcW w:w="1688" w:type="dxa"/>
          </w:tcPr>
          <w:p w14:paraId="57314BFD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193D05E6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55180BFD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1690D509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4D4971DE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70B245D8" w14:textId="77777777" w:rsidTr="00D82F83">
        <w:tc>
          <w:tcPr>
            <w:tcW w:w="1688" w:type="dxa"/>
          </w:tcPr>
          <w:p w14:paraId="08237AD4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542BD37B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305D05ED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7BB932AE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0ADA3866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  <w:tr w:rsidR="00937727" w14:paraId="6C63566C" w14:textId="77777777" w:rsidTr="00D82F83">
        <w:tc>
          <w:tcPr>
            <w:tcW w:w="1688" w:type="dxa"/>
          </w:tcPr>
          <w:p w14:paraId="022E506E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497" w:type="dxa"/>
          </w:tcPr>
          <w:p w14:paraId="45D0413C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724" w:type="dxa"/>
          </w:tcPr>
          <w:p w14:paraId="61637A42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2608" w:type="dxa"/>
          </w:tcPr>
          <w:p w14:paraId="40561031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  <w:tc>
          <w:tcPr>
            <w:tcW w:w="1537" w:type="dxa"/>
          </w:tcPr>
          <w:p w14:paraId="40B7F5F4" w14:textId="77777777" w:rsidR="0059704D" w:rsidRDefault="0059704D" w:rsidP="00C5648D">
            <w:pPr>
              <w:spacing w:after="200"/>
              <w:contextualSpacing/>
              <w:jc w:val="center"/>
              <w:rPr>
                <w:rFonts w:ascii="Arial" w:eastAsia="Cambria" w:hAnsi="Arial" w:cs="Arial"/>
                <w:lang w:val="es-MX"/>
              </w:rPr>
            </w:pPr>
          </w:p>
        </w:tc>
      </w:tr>
    </w:tbl>
    <w:p w14:paraId="39F763B2" w14:textId="77777777" w:rsidR="00C5648D" w:rsidRDefault="00C5648D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62B8843F" w14:textId="77777777" w:rsidR="00C5648D" w:rsidRDefault="00C5648D" w:rsidP="00C5648D">
      <w:pPr>
        <w:spacing w:after="200"/>
        <w:ind w:left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5BB643E5" w14:textId="77777777" w:rsidR="00D82F83" w:rsidRPr="00D82F83" w:rsidRDefault="00D82F83" w:rsidP="00D82F83">
      <w:pPr>
        <w:numPr>
          <w:ilvl w:val="0"/>
          <w:numId w:val="22"/>
        </w:numPr>
        <w:tabs>
          <w:tab w:val="left" w:pos="709"/>
        </w:tabs>
        <w:spacing w:before="240" w:after="200" w:line="276" w:lineRule="auto"/>
        <w:ind w:left="709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D82F83">
        <w:rPr>
          <w:rFonts w:ascii="Arial" w:eastAsia="Cambria" w:hAnsi="Arial" w:cs="Arial"/>
          <w:sz w:val="22"/>
          <w:szCs w:val="22"/>
          <w:lang w:val="es-MX"/>
        </w:rPr>
        <w:t>All the preparations with disinfectant are made according to the supplier's instructions or the directions on the product label.</w:t>
      </w:r>
    </w:p>
    <w:p w14:paraId="7A578E51" w14:textId="77777777" w:rsidR="00D82F83" w:rsidRPr="00D82F83" w:rsidRDefault="00D82F83" w:rsidP="00D82F83">
      <w:pPr>
        <w:tabs>
          <w:tab w:val="left" w:pos="709"/>
        </w:tabs>
        <w:spacing w:before="240" w:after="200" w:line="276" w:lineRule="auto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0BFBA95F" w14:textId="77777777" w:rsidR="00D82F83" w:rsidRPr="00D82F83" w:rsidRDefault="00D82F83" w:rsidP="00D82F83">
      <w:pPr>
        <w:numPr>
          <w:ilvl w:val="0"/>
          <w:numId w:val="22"/>
        </w:numPr>
        <w:tabs>
          <w:tab w:val="left" w:pos="709"/>
        </w:tabs>
        <w:spacing w:before="240" w:after="200" w:line="276" w:lineRule="auto"/>
        <w:ind w:left="709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D82F83">
        <w:rPr>
          <w:rFonts w:ascii="Arial" w:eastAsia="Cambria" w:hAnsi="Arial" w:cs="Arial"/>
          <w:sz w:val="22"/>
          <w:szCs w:val="22"/>
          <w:lang w:val="es-MX"/>
        </w:rPr>
        <w:t>The concentration of disinfectants used in wash water is monitored once every hour and, if necessary, is adjusted (REG-MCDAW-5.2.7).</w:t>
      </w:r>
    </w:p>
    <w:p w14:paraId="509D635F" w14:textId="77777777" w:rsidR="00D82F83" w:rsidRPr="00D82F83" w:rsidRDefault="00D82F83" w:rsidP="00D82F83">
      <w:pPr>
        <w:tabs>
          <w:tab w:val="left" w:pos="709"/>
        </w:tabs>
        <w:spacing w:before="240" w:after="200" w:line="276" w:lineRule="auto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</w:p>
    <w:p w14:paraId="40FA26C0" w14:textId="77777777" w:rsidR="0070401E" w:rsidRPr="00D82F83" w:rsidRDefault="00D82F83" w:rsidP="00697F1C">
      <w:pPr>
        <w:numPr>
          <w:ilvl w:val="0"/>
          <w:numId w:val="22"/>
        </w:numPr>
        <w:tabs>
          <w:tab w:val="left" w:pos="709"/>
        </w:tabs>
        <w:spacing w:before="240" w:after="200" w:line="276" w:lineRule="auto"/>
        <w:ind w:left="709" w:hanging="357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 w:rsidRPr="00D82F83">
        <w:rPr>
          <w:rFonts w:ascii="Arial" w:eastAsia="Cambria" w:hAnsi="Arial" w:cs="Arial"/>
          <w:sz w:val="22"/>
          <w:szCs w:val="22"/>
          <w:lang w:val="es-MX"/>
        </w:rPr>
        <w:lastRenderedPageBreak/>
        <w:t>The water in the wash tanks should be changed whenever it is cloudy or full of waste, leaves and stems</w:t>
      </w:r>
      <w:r w:rsidR="00697F1C" w:rsidRPr="00D82F83">
        <w:rPr>
          <w:rFonts w:ascii="Arial" w:eastAsia="Cambria" w:hAnsi="Arial" w:cs="Arial"/>
          <w:sz w:val="22"/>
          <w:szCs w:val="22"/>
          <w:lang w:val="es-MX"/>
        </w:rPr>
        <w:t>.</w:t>
      </w:r>
    </w:p>
    <w:sectPr w:rsidR="0070401E" w:rsidRPr="00D82F83" w:rsidSect="007355B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F029B" w14:textId="77777777" w:rsidR="00C254E9" w:rsidRDefault="00C254E9" w:rsidP="00C81B41">
      <w:r>
        <w:separator/>
      </w:r>
    </w:p>
  </w:endnote>
  <w:endnote w:type="continuationSeparator" w:id="0">
    <w:p w14:paraId="555408B8" w14:textId="77777777" w:rsidR="00C254E9" w:rsidRDefault="00C254E9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779E24" w14:textId="77777777" w:rsidR="00C254E9" w:rsidRPr="002F5B2D" w:rsidRDefault="00C254E9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D82F83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521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82F83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521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8F7E6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FAC031" w14:textId="77777777" w:rsidR="00C254E9" w:rsidRDefault="00C254E9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61ABEDF7" w14:textId="77777777" w:rsidR="00C254E9" w:rsidRPr="002F5B2D" w:rsidRDefault="00C254E9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D7B86" w14:textId="77777777" w:rsidR="00C254E9" w:rsidRDefault="00C254E9" w:rsidP="00C81B41">
      <w:r>
        <w:separator/>
      </w:r>
    </w:p>
  </w:footnote>
  <w:footnote w:type="continuationSeparator" w:id="0">
    <w:p w14:paraId="0CBA0319" w14:textId="77777777" w:rsidR="00C254E9" w:rsidRDefault="00C254E9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654" w:type="dxa"/>
      <w:tblInd w:w="-459" w:type="dxa"/>
      <w:tblLook w:val="04A0" w:firstRow="1" w:lastRow="0" w:firstColumn="1" w:lastColumn="0" w:noHBand="0" w:noVBand="1"/>
    </w:tblPr>
    <w:tblGrid>
      <w:gridCol w:w="7837"/>
      <w:gridCol w:w="2817"/>
    </w:tblGrid>
    <w:tr w:rsidR="00C254E9" w:rsidRPr="00C81B41" w14:paraId="3F8378AF" w14:textId="77777777">
      <w:trPr>
        <w:trHeight w:val="734"/>
      </w:trPr>
      <w:tc>
        <w:tcPr>
          <w:tcW w:w="7837" w:type="dxa"/>
          <w:vAlign w:val="center"/>
        </w:tcPr>
        <w:p w14:paraId="7C920EC8" w14:textId="77777777" w:rsidR="00D82F83" w:rsidRPr="00D82F83" w:rsidRDefault="00D82F83" w:rsidP="00D82F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D82F83">
            <w:rPr>
              <w:rFonts w:ascii="Arial" w:hAnsi="Arial" w:cs="Arial"/>
              <w:b/>
              <w:sz w:val="24"/>
              <w:szCs w:val="24"/>
              <w:lang w:val="es-MX"/>
            </w:rPr>
            <w:t>CONTROL AND MANAGEMENT OF ANTIMICROBIAL</w:t>
          </w:r>
        </w:p>
        <w:p w14:paraId="0A4E0FD6" w14:textId="77777777" w:rsidR="00C254E9" w:rsidRPr="00D82F83" w:rsidRDefault="00D82F83" w:rsidP="00D82F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4"/>
              <w:szCs w:val="24"/>
              <w:lang w:val="es-MX"/>
            </w:rPr>
          </w:pPr>
          <w:r w:rsidRPr="00D82F83">
            <w:rPr>
              <w:rFonts w:ascii="Arial" w:hAnsi="Arial" w:cs="Arial"/>
              <w:b/>
              <w:sz w:val="24"/>
              <w:szCs w:val="24"/>
              <w:lang w:val="es-MX"/>
            </w:rPr>
            <w:t xml:space="preserve">              </w:t>
          </w:r>
          <w:r>
            <w:rPr>
              <w:rFonts w:ascii="Arial" w:hAnsi="Arial" w:cs="Arial"/>
              <w:b/>
              <w:sz w:val="24"/>
              <w:szCs w:val="24"/>
              <w:lang w:val="es-MX"/>
            </w:rPr>
            <w:t xml:space="preserve">            AGENTS IN THE WATER</w:t>
          </w:r>
        </w:p>
      </w:tc>
      <w:tc>
        <w:tcPr>
          <w:tcW w:w="2817" w:type="dxa"/>
        </w:tcPr>
        <w:p w14:paraId="6FC23DE9" w14:textId="77777777" w:rsidR="00D82F83" w:rsidRPr="00D82F83" w:rsidRDefault="00D82F83" w:rsidP="00D82F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D82F83">
            <w:rPr>
              <w:rFonts w:ascii="Arial" w:hAnsi="Arial" w:cs="Arial"/>
            </w:rPr>
            <w:t>CODE:</w:t>
          </w:r>
        </w:p>
        <w:p w14:paraId="09CE0431" w14:textId="77777777" w:rsidR="00C254E9" w:rsidRPr="00D82F83" w:rsidRDefault="00D82F83" w:rsidP="00D82F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SOP-AMAWA-5.2.6</w:t>
          </w:r>
        </w:p>
      </w:tc>
    </w:tr>
  </w:tbl>
  <w:p w14:paraId="31B9A3D9" w14:textId="77777777" w:rsidR="00C254E9" w:rsidRDefault="00C254E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03A00E7"/>
    <w:multiLevelType w:val="hybridMultilevel"/>
    <w:tmpl w:val="B3904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14"/>
  </w:num>
  <w:num w:numId="10">
    <w:abstractNumId w:val="23"/>
  </w:num>
  <w:num w:numId="11">
    <w:abstractNumId w:val="8"/>
  </w:num>
  <w:num w:numId="12">
    <w:abstractNumId w:val="5"/>
  </w:num>
  <w:num w:numId="13">
    <w:abstractNumId w:val="19"/>
  </w:num>
  <w:num w:numId="14">
    <w:abstractNumId w:val="9"/>
  </w:num>
  <w:num w:numId="15">
    <w:abstractNumId w:val="3"/>
  </w:num>
  <w:num w:numId="16">
    <w:abstractNumId w:val="18"/>
  </w:num>
  <w:num w:numId="17">
    <w:abstractNumId w:val="25"/>
  </w:num>
  <w:num w:numId="18">
    <w:abstractNumId w:val="21"/>
  </w:num>
  <w:num w:numId="19">
    <w:abstractNumId w:val="20"/>
  </w:num>
  <w:num w:numId="20">
    <w:abstractNumId w:val="12"/>
  </w:num>
  <w:num w:numId="21">
    <w:abstractNumId w:val="24"/>
  </w:num>
  <w:num w:numId="22">
    <w:abstractNumId w:val="26"/>
  </w:num>
  <w:num w:numId="23">
    <w:abstractNumId w:val="6"/>
  </w:num>
  <w:num w:numId="24">
    <w:abstractNumId w:val="7"/>
  </w:num>
  <w:num w:numId="25">
    <w:abstractNumId w:val="4"/>
  </w:num>
  <w:num w:numId="26">
    <w:abstractNumId w:val="1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6707"/>
    <w:rsid w:val="000D649E"/>
    <w:rsid w:val="000E3227"/>
    <w:rsid w:val="00113764"/>
    <w:rsid w:val="001A0103"/>
    <w:rsid w:val="00211E3C"/>
    <w:rsid w:val="002532FC"/>
    <w:rsid w:val="002D57B8"/>
    <w:rsid w:val="002E69E8"/>
    <w:rsid w:val="002F5B2D"/>
    <w:rsid w:val="002F6D00"/>
    <w:rsid w:val="0030119D"/>
    <w:rsid w:val="00336490"/>
    <w:rsid w:val="003D7441"/>
    <w:rsid w:val="00400FEA"/>
    <w:rsid w:val="004275A5"/>
    <w:rsid w:val="004A6E25"/>
    <w:rsid w:val="004B36B5"/>
    <w:rsid w:val="00501300"/>
    <w:rsid w:val="0050668D"/>
    <w:rsid w:val="00507C35"/>
    <w:rsid w:val="0059704D"/>
    <w:rsid w:val="006012D4"/>
    <w:rsid w:val="0069574F"/>
    <w:rsid w:val="00697F1C"/>
    <w:rsid w:val="0070401E"/>
    <w:rsid w:val="00705207"/>
    <w:rsid w:val="00724C2A"/>
    <w:rsid w:val="007355B6"/>
    <w:rsid w:val="00741686"/>
    <w:rsid w:val="00765C86"/>
    <w:rsid w:val="00776DAB"/>
    <w:rsid w:val="0078456B"/>
    <w:rsid w:val="007A11C0"/>
    <w:rsid w:val="007F22EA"/>
    <w:rsid w:val="008513D8"/>
    <w:rsid w:val="008B01DC"/>
    <w:rsid w:val="008F7E61"/>
    <w:rsid w:val="00937727"/>
    <w:rsid w:val="009434BD"/>
    <w:rsid w:val="009521B9"/>
    <w:rsid w:val="00996FA1"/>
    <w:rsid w:val="00A12983"/>
    <w:rsid w:val="00A53335"/>
    <w:rsid w:val="00AC1822"/>
    <w:rsid w:val="00AE1D2A"/>
    <w:rsid w:val="00B76178"/>
    <w:rsid w:val="00C03D4A"/>
    <w:rsid w:val="00C254E9"/>
    <w:rsid w:val="00C5648D"/>
    <w:rsid w:val="00C772A1"/>
    <w:rsid w:val="00C81B41"/>
    <w:rsid w:val="00CD2D6A"/>
    <w:rsid w:val="00CD650D"/>
    <w:rsid w:val="00CF32CD"/>
    <w:rsid w:val="00D82F83"/>
    <w:rsid w:val="00D868B3"/>
    <w:rsid w:val="00DA153B"/>
    <w:rsid w:val="00DB5C15"/>
    <w:rsid w:val="00E05231"/>
    <w:rsid w:val="00E23598"/>
    <w:rsid w:val="00EC4B49"/>
    <w:rsid w:val="00F15031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A45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link w:val="Heading5Char"/>
    <w:uiPriority w:val="1"/>
    <w:qFormat/>
    <w:rsid w:val="00D82F83"/>
    <w:pPr>
      <w:widowControl w:val="0"/>
      <w:autoSpaceDE w:val="0"/>
      <w:autoSpaceDN w:val="0"/>
      <w:ind w:left="1209"/>
      <w:outlineLvl w:val="4"/>
    </w:pPr>
    <w:rPr>
      <w:rFonts w:ascii="Arial" w:eastAsia="Arial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A15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A153B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D82F83"/>
    <w:rPr>
      <w:rFonts w:ascii="Arial" w:eastAsia="Arial" w:hAnsi="Arial" w:cs="Arial"/>
      <w:b/>
      <w:bCs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D82F8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250</Words>
  <Characters>1428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 Work</cp:lastModifiedBy>
  <cp:revision>16</cp:revision>
  <dcterms:created xsi:type="dcterms:W3CDTF">2014-05-08T05:40:00Z</dcterms:created>
  <dcterms:modified xsi:type="dcterms:W3CDTF">2018-08-16T18:47:00Z</dcterms:modified>
</cp:coreProperties>
</file>